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64" w:lineRule="auto"/>
        <w:jc w:val="left"/>
      </w:pPr>
      <w:r>
        <w:rPr>
          <w:rFonts w:ascii="Arial" w:hAnsi="Arial" w:eastAsia="PingFang SC"/>
          <w:b/>
          <w:i w:val="0"/>
          <w:color w:val="FF4F00"/>
          <w:sz w:val="16"/>
        </w:rPr>
        <w:t xml:space="preserve">DATE  </w:t>
      </w:r>
      <w:r>
        <w:rPr>
          <w:rFonts w:ascii="Arial" w:hAnsi="Arial" w:eastAsia="PingFang SC"/>
          <w:b w:val="0"/>
          <w:i w:val="0"/>
          <w:color w:val="201515"/>
          <w:sz w:val="21"/>
        </w:rPr>
        <w:t>30 July 2026</w:t>
      </w:r>
    </w:p>
    <w:p>
      <w:pPr>
        <w:spacing w:before="0" w:after="60" w:line="264" w:lineRule="auto"/>
        <w:jc w:val="left"/>
      </w:pPr>
      <w:r>
        <w:rPr>
          <w:rFonts w:ascii="Arial" w:hAnsi="Arial" w:eastAsia="PingFang SC"/>
          <w:b/>
          <w:i w:val="0"/>
          <w:color w:val="FF4F00"/>
          <w:sz w:val="16"/>
        </w:rPr>
        <w:t xml:space="preserve">TO  </w:t>
      </w:r>
      <w:r>
        <w:rPr>
          <w:rFonts w:ascii="Arial" w:hAnsi="Arial" w:eastAsia="PingFang SC"/>
          <w:b w:val="0"/>
          <w:i w:val="0"/>
          <w:color w:val="201515"/>
          <w:sz w:val="21"/>
        </w:rPr>
        <w:t>Business Partner</w:t>
      </w:r>
    </w:p>
    <w:p>
      <w:pPr>
        <w:spacing w:before="0" w:after="60" w:line="264" w:lineRule="auto"/>
        <w:jc w:val="left"/>
      </w:pPr>
      <w:r>
        <w:rPr>
          <w:rFonts w:ascii="Arial" w:hAnsi="Arial" w:eastAsia="PingFang SC"/>
          <w:b/>
          <w:i w:val="0"/>
          <w:color w:val="FF4F00"/>
          <w:sz w:val="16"/>
        </w:rPr>
        <w:t xml:space="preserve">SUBJECT  </w:t>
      </w:r>
      <w:r>
        <w:rPr>
          <w:rFonts w:ascii="Arial" w:hAnsi="Arial" w:eastAsia="PingFang SC"/>
          <w:b w:val="0"/>
          <w:i w:val="0"/>
          <w:color w:val="201515"/>
          <w:sz w:val="21"/>
        </w:rPr>
        <w:t>A clear system for professional correspondence</w:t>
      </w:r>
    </w:p>
    <w:p>
      <w:pPr>
        <w:spacing w:before="560" w:after="320" w:line="240" w:lineRule="auto"/>
        <w:jc w:val="left"/>
      </w:pPr>
      <w:r>
        <w:rPr>
          <w:rFonts w:ascii="Degular" w:hAnsi="Degular" w:eastAsia="PingFang SC"/>
          <w:b/>
          <w:i w:val="0"/>
          <w:color w:val="201515"/>
          <w:sz w:val="48"/>
        </w:rPr>
        <w:t>Business Letter</w:t>
      </w:r>
    </w:p>
    <w:p>
      <w:pPr>
        <w:spacing w:before="0" w:after="240" w:line="264" w:lineRule="auto"/>
        <w:jc w:val="left"/>
      </w:pPr>
      <w:r>
        <w:rPr>
          <w:rFonts w:ascii="Arial" w:hAnsi="Arial" w:eastAsia="PingFang SC"/>
          <w:b/>
          <w:i w:val="0"/>
          <w:color w:val="201515"/>
          <w:sz w:val="21"/>
        </w:rPr>
        <w:t>Dear Partner,</w:t>
      </w:r>
    </w:p>
    <w:p>
      <w:pPr>
        <w:spacing w:before="0" w:after="200" w:line="293" w:lineRule="auto"/>
        <w:jc w:val="left"/>
      </w:pPr>
      <w:r>
        <w:rPr>
          <w:rFonts w:ascii="Arial" w:hAnsi="Arial" w:eastAsia="PingFang SC"/>
          <w:b w:val="0"/>
          <w:i w:val="0"/>
          <w:color w:val="201515"/>
          <w:sz w:val="21"/>
        </w:rPr>
        <w:t>Clear communication is part of a reliable system. This A4 letterhead is designed for proposals, official notices, partner correspondence and signed business documents.</w:t>
      </w:r>
    </w:p>
    <w:p>
      <w:pPr>
        <w:spacing w:before="0" w:after="200" w:line="293" w:lineRule="auto"/>
        <w:jc w:val="left"/>
      </w:pPr>
      <w:r>
        <w:rPr>
          <w:rFonts w:ascii="Arial" w:hAnsi="Arial" w:eastAsia="PingFang SC"/>
          <w:b w:val="0"/>
          <w:i w:val="0"/>
          <w:color w:val="201515"/>
          <w:sz w:val="21"/>
        </w:rPr>
        <w:t>Replace this sample copy with the approved message. Keep paragraphs concise, use one subject per letter, and retain 1Z clear space around the master signature. The orange Signal Rail remains in the footer and should not be recolored or resized.</w:t>
      </w:r>
    </w:p>
    <w:p>
      <w:pPr>
        <w:spacing w:before="0" w:after="200" w:line="293" w:lineRule="auto"/>
        <w:jc w:val="left"/>
      </w:pPr>
      <w:r>
        <w:rPr>
          <w:rFonts w:ascii="Arial" w:hAnsi="Arial" w:eastAsia="PingFang SC"/>
          <w:b w:val="0"/>
          <w:i w:val="0"/>
          <w:color w:val="201515"/>
          <w:sz w:val="21"/>
        </w:rPr>
        <w:t>For longer letters, continue onto a new page using the same header and footer. Supporting information may use short bullet lists, but avoid dense decorative elements that compete with the message.</w:t>
      </w:r>
    </w:p>
    <w:p>
      <w:pPr>
        <w:spacing w:before="360" w:after="40" w:line="276" w:lineRule="auto"/>
        <w:jc w:val="left"/>
      </w:pPr>
      <w:r>
        <w:rPr>
          <w:rFonts w:ascii="Arial" w:hAnsi="Arial" w:eastAsia="PingFang SC"/>
          <w:b w:val="0"/>
          <w:i w:val="0"/>
          <w:color w:val="201515"/>
          <w:sz w:val="21"/>
        </w:rPr>
        <w:t>Sincerely,</w:t>
      </w:r>
    </w:p>
    <w:p>
      <w:pPr>
        <w:spacing w:before="680" w:after="20" w:line="264" w:lineRule="auto"/>
        <w:jc w:val="left"/>
      </w:pPr>
      <w:r>
        <w:rPr>
          <w:rFonts w:ascii="Arial" w:hAnsi="Arial" w:eastAsia="PingFang SC"/>
          <w:b/>
          <w:i w:val="0"/>
          <w:color w:val="201515"/>
          <w:sz w:val="21"/>
        </w:rPr>
        <w:t>NAME SURNAME</w:t>
      </w:r>
    </w:p>
    <w:p>
      <w:pPr>
        <w:spacing w:before="0" w:after="0" w:line="264" w:lineRule="auto"/>
        <w:jc w:val="left"/>
      </w:pPr>
      <w:r>
        <w:rPr>
          <w:rFonts w:ascii="Arial" w:hAnsi="Arial" w:eastAsia="PingFang SC"/>
          <w:b w:val="0"/>
          <w:i w:val="0"/>
          <w:color w:val="655E5A"/>
          <w:sz w:val="17"/>
        </w:rPr>
        <w:t>Title / Department</w:t>
      </w:r>
    </w:p>
    <w:sectPr w:rsidR="00FC693F" w:rsidRPr="0006063C" w:rsidSect="00034616">
      <w:headerReference w:type="default" r:id="rId9"/>
      <w:footerReference w:type="default" r:id="rId10"/>
      <w:pgSz w:w="11906" w:h="16838"/>
      <w:pgMar w:top="1644" w:right="1361" w:bottom="1304" w:left="1361" w:header="567"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184"/>
      <w:jc w:val="left"/>
      <w:tblLayout w:type="fixed"/>
      <w:tblLook w:firstColumn="1" w:firstRow="1" w:lastColumn="0" w:lastRow="0" w:noHBand="0" w:noVBand="1" w:val="04A0"/>
    </w:tblPr>
    <w:tblGrid>
      <w:gridCol w:w="5400"/>
      <w:gridCol w:w="3784"/>
    </w:tblGrid>
    <w:tr>
      <w:trPr>
        <w:trHeight w:val="170"/>
      </w:trPr>
      <w:tc>
        <w:tcPr>
          <w:tcW w:type="dxa" w:w="5400"/>
          <w:tcMar>
            <w:top w:w="0" w:type="dxa"/>
            <w:start w:w="0" w:type="dxa"/>
            <w:bottom w:w="0" w:type="dxa"/>
            <w:end w:w="0" w:type="dxa"/>
          </w:tcMar>
          <w:shd w:fill="FF4F00"/>
        </w:tcPr>
        <w:p/>
      </w:tc>
      <w:tc>
        <w:tcPr>
          <w:tcW w:type="dxa" w:w="3784"/>
          <w:tcMar>
            <w:top w:w="0" w:type="dxa"/>
            <w:start w:w="0" w:type="dxa"/>
            <w:bottom w:w="0" w:type="dxa"/>
            <w:end w:w="0" w:type="dxa"/>
          </w:tcMar>
          <w:shd w:fill="FF4F00"/>
        </w:tcPr>
        <w:p/>
      </w:tc>
    </w:tr>
    <w:tr>
      <w:tc>
        <w:tcPr>
          <w:tcW w:type="dxa" w:w="5400"/>
          <w:tcMar>
            <w:top w:w="0" w:type="dxa"/>
            <w:start w:w="0" w:type="dxa"/>
            <w:bottom w:w="0" w:type="dxa"/>
            <w:end w:w="0" w:type="dxa"/>
          </w:tcMar>
        </w:tcPr>
        <w:p>
          <w:pPr>
            <w:spacing w:before="120" w:after="0" w:line="264" w:lineRule="auto"/>
            <w:jc w:val="left"/>
          </w:pPr>
          <w:r>
            <w:rPr>
              <w:rFonts w:ascii="Arial" w:hAnsi="Arial" w:eastAsia="PingFang SC"/>
              <w:b/>
              <w:i w:val="0"/>
              <w:color w:val="655E5A"/>
              <w:sz w:val="14"/>
            </w:rPr>
            <w:t>中姆笙笙 / ZOMSEN BUSINESS CORRESPONDENCE / VI 2.1</w:t>
          </w:r>
        </w:p>
      </w:tc>
      <w:tc>
        <w:tcPr>
          <w:tcW w:type="dxa" w:w="3784"/>
          <w:tcMar>
            <w:top w:w="0" w:type="dxa"/>
            <w:start w:w="0" w:type="dxa"/>
            <w:bottom w:w="0" w:type="dxa"/>
            <w:end w:w="0" w:type="dxa"/>
          </w:tcMar>
        </w:tcPr>
        <w:p>
          <w:pPr>
            <w:spacing w:before="120" w:after="0" w:line="264" w:lineRule="auto"/>
            <w:jc w:val="right"/>
          </w:pPr>
          <w:r>
            <w:rPr>
              <w:rFonts w:ascii="Arial" w:hAnsi="Arial" w:eastAsia="PingFang SC"/>
              <w:b/>
              <w:i w:val="0"/>
              <w:color w:val="201515"/>
              <w:sz w:val="14"/>
            </w:rPr>
            <w:t>ZOMSEN.COM</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184"/>
      <w:jc w:val="left"/>
      <w:tblLayout w:type="fixed"/>
      <w:tblLook w:firstColumn="1" w:firstRow="1" w:lastColumn="0" w:lastRow="0" w:noHBand="0" w:noVBand="1" w:val="04A0"/>
    </w:tblPr>
    <w:tblGrid>
      <w:gridCol w:w="5100"/>
      <w:gridCol w:w="4084"/>
    </w:tblGrid>
    <w:tr>
      <w:tc>
        <w:tcPr>
          <w:tcW w:type="dxa" w:w="5100"/>
          <w:tcMar>
            <w:top w:w="0" w:type="dxa"/>
            <w:start w:w="0" w:type="dxa"/>
            <w:bottom w:w="0" w:type="dxa"/>
            <w:end w:w="0" w:type="dxa"/>
          </w:tcMar>
          <w:vAlign w:val="top"/>
        </w:tcPr>
        <w:p>
          <w:r>
            <w:drawing>
              <wp:inline xmlns:a="http://schemas.openxmlformats.org/drawingml/2006/main" xmlns:pic="http://schemas.openxmlformats.org/drawingml/2006/picture">
                <wp:extent cx="2232000" cy="297135"/>
                <wp:docPr id="1" name="Picture 1"/>
                <wp:cNvGraphicFramePr>
                  <a:graphicFrameLocks noChangeAspect="1"/>
                </wp:cNvGraphicFramePr>
                <a:graphic>
                  <a:graphicData uri="http://schemas.openxmlformats.org/drawingml/2006/picture">
                    <pic:pic>
                      <pic:nvPicPr>
                        <pic:cNvPr id="0" name="zomsen-logo-primary-1600.png"/>
                        <pic:cNvPicPr/>
                      </pic:nvPicPr>
                      <pic:blipFill>
                        <a:blip r:embed="rId1"/>
                        <a:stretch>
                          <a:fillRect/>
                        </a:stretch>
                      </pic:blipFill>
                      <pic:spPr>
                        <a:xfrm>
                          <a:off x="0" y="0"/>
                          <a:ext cx="2232000" cy="297135"/>
                        </a:xfrm>
                        <a:prstGeom prst="rect"/>
                      </pic:spPr>
                    </pic:pic>
                  </a:graphicData>
                </a:graphic>
              </wp:inline>
            </w:drawing>
          </w:r>
        </w:p>
      </w:tc>
      <w:tc>
        <w:tcPr>
          <w:tcW w:type="dxa" w:w="4084"/>
          <w:tcMar>
            <w:top w:w="0" w:type="dxa"/>
            <w:start w:w="0" w:type="dxa"/>
            <w:bottom w:w="0" w:type="dxa"/>
            <w:end w:w="0" w:type="dxa"/>
          </w:tcMar>
          <w:vAlign w:val="top"/>
        </w:tcPr>
        <w:p>
          <w:pPr>
            <w:spacing w:before="0" w:after="0" w:line="288" w:lineRule="auto"/>
            <w:jc w:val="right"/>
          </w:pPr>
          <w:r>
            <w:rPr>
              <w:rFonts w:ascii="PingFang SC" w:hAnsi="PingFang SC" w:eastAsia="PingFang SC"/>
              <w:b/>
              <w:i w:val="0"/>
              <w:color w:val="201515"/>
              <w:sz w:val="17"/>
            </w:rPr>
            <w:t>中姆笙笙</w:t>
            <w:br/>
          </w:r>
          <w:r>
            <w:rPr>
              <w:rFonts w:ascii="Arial" w:hAnsi="Arial" w:eastAsia="PingFang SC"/>
              <w:b/>
              <w:i w:val="0"/>
              <w:color w:val="201515"/>
              <w:sz w:val="15"/>
            </w:rPr>
            <w:t>ZOMSEN TECHNOLOGY</w:t>
            <w:br/>
          </w:r>
          <w:r>
            <w:rPr>
              <w:rFonts w:ascii="Arial" w:hAnsi="Arial" w:eastAsia="PingFang SC"/>
              <w:b w:val="0"/>
              <w:i w:val="0"/>
              <w:color w:val="655E5A"/>
              <w:sz w:val="15"/>
            </w:rPr>
            <w:t>BEIJING, CHINA · ZOMSEN.COM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eastAsia="PingFang SC"/>
      <w:color w:val="2015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